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4D41" w14:textId="572BBAA5" w:rsidR="00DC6832" w:rsidRDefault="00FA4277">
      <w:r>
        <w:rPr>
          <w:noProof/>
        </w:rPr>
        <w:drawing>
          <wp:inline distT="0" distB="0" distL="0" distR="0" wp14:anchorId="623320FF" wp14:editId="39E4370F">
            <wp:extent cx="1857375" cy="970280"/>
            <wp:effectExtent l="0" t="0" r="9525" b="1270"/>
            <wp:docPr id="1438723106" name="Picture 2" descr="A blue and white sign with a map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3106" name="Picture 2" descr="A blue and white sign with a map and text"/>
                    <pic:cNvPicPr/>
                  </pic:nvPicPr>
                  <pic:blipFill>
                    <a:blip r:embed="rId5">
                      <a:extLst>
                        <a:ext uri="{28A0092B-C50C-407E-A947-70E740481C1C}">
                          <a14:useLocalDpi xmlns:a14="http://schemas.microsoft.com/office/drawing/2010/main" val="0"/>
                        </a:ext>
                      </a:extLst>
                    </a:blip>
                    <a:stretch>
                      <a:fillRect/>
                    </a:stretch>
                  </pic:blipFill>
                  <pic:spPr>
                    <a:xfrm>
                      <a:off x="0" y="0"/>
                      <a:ext cx="1879008" cy="981581"/>
                    </a:xfrm>
                    <a:prstGeom prst="rect">
                      <a:avLst/>
                    </a:prstGeom>
                  </pic:spPr>
                </pic:pic>
              </a:graphicData>
            </a:graphic>
          </wp:inline>
        </w:drawing>
      </w:r>
      <w:r>
        <w:rPr>
          <w:noProof/>
        </w:rPr>
        <w:drawing>
          <wp:inline distT="0" distB="0" distL="0" distR="0" wp14:anchorId="0747AC34" wp14:editId="14757E17">
            <wp:extent cx="1677035" cy="933090"/>
            <wp:effectExtent l="0" t="0" r="0" b="635"/>
            <wp:docPr id="1319436700" name="Picture 1" descr="A logo for a police and crime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36700" name="Picture 1" descr="A logo for a police and crime commissio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1018" cy="946434"/>
                    </a:xfrm>
                    <a:prstGeom prst="rect">
                      <a:avLst/>
                    </a:prstGeom>
                  </pic:spPr>
                </pic:pic>
              </a:graphicData>
            </a:graphic>
          </wp:inline>
        </w:drawing>
      </w:r>
      <w:r>
        <w:rPr>
          <w:noProof/>
          <w:sz w:val="22"/>
          <w:szCs w:val="22"/>
          <w:lang w:eastAsia="en-GB"/>
          <w14:ligatures w14:val="none"/>
        </w:rPr>
        <w:drawing>
          <wp:inline distT="0" distB="0" distL="0" distR="0" wp14:anchorId="57252732" wp14:editId="04463540">
            <wp:extent cx="2124491" cy="713740"/>
            <wp:effectExtent l="0" t="0" r="9525" b="0"/>
            <wp:docPr id="115937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31647" cy="716144"/>
                    </a:xfrm>
                    <a:prstGeom prst="rect">
                      <a:avLst/>
                    </a:prstGeom>
                    <a:noFill/>
                    <a:ln>
                      <a:noFill/>
                    </a:ln>
                  </pic:spPr>
                </pic:pic>
              </a:graphicData>
            </a:graphic>
          </wp:inline>
        </w:drawing>
      </w:r>
    </w:p>
    <w:p w14:paraId="462EB08A" w14:textId="77777777" w:rsidR="00FA4277" w:rsidRDefault="00FA4277"/>
    <w:p w14:paraId="5891D0EF" w14:textId="37ACD632" w:rsidR="00FA4277" w:rsidRDefault="00FA4277" w:rsidP="00FA4277">
      <w:r w:rsidRPr="00FA4277">
        <w:rPr>
          <w:b/>
          <w:bCs/>
        </w:rPr>
        <w:t>To</w:t>
      </w:r>
      <w:r>
        <w:t>:</w:t>
      </w:r>
      <w:r>
        <w:t xml:space="preserve"> </w:t>
      </w:r>
      <w:r>
        <w:t>Secretary of State for the Home Department</w:t>
      </w:r>
    </w:p>
    <w:p w14:paraId="7BFC78BD" w14:textId="25428182" w:rsidR="002E09E1" w:rsidRDefault="00FA4277" w:rsidP="002E09E1">
      <w:r>
        <w:t>His Majesty’s Inspectorate of Constabulary and Fire &amp; Rescue Service</w:t>
      </w:r>
    </w:p>
    <w:p w14:paraId="08CD48AA" w14:textId="4834AC7E" w:rsidR="00FA4277" w:rsidRDefault="00FA4277" w:rsidP="00FA4277">
      <w:pPr>
        <w:jc w:val="right"/>
      </w:pPr>
      <w:r>
        <w:t>6</w:t>
      </w:r>
      <w:r w:rsidRPr="00FA4277">
        <w:rPr>
          <w:vertAlign w:val="superscript"/>
        </w:rPr>
        <w:t>th</w:t>
      </w:r>
      <w:r>
        <w:t xml:space="preserve"> March 2026</w:t>
      </w:r>
    </w:p>
    <w:p w14:paraId="24CCEBE2" w14:textId="6B78507D" w:rsidR="00FA4277" w:rsidRDefault="00FA4277" w:rsidP="000C0025">
      <w:pPr>
        <w:spacing w:line="360" w:lineRule="auto"/>
      </w:pPr>
      <w:r>
        <w:t xml:space="preserve">Dear </w:t>
      </w:r>
      <w:r w:rsidR="00E23023">
        <w:t>C</w:t>
      </w:r>
      <w:r>
        <w:t>olleagues</w:t>
      </w:r>
    </w:p>
    <w:p w14:paraId="4539CEF2" w14:textId="452A2A76" w:rsidR="00FA4277" w:rsidRDefault="00FA4277" w:rsidP="000C0025">
      <w:pPr>
        <w:spacing w:line="360" w:lineRule="auto"/>
        <w:rPr>
          <w:b/>
          <w:bCs/>
        </w:rPr>
      </w:pPr>
      <w:r>
        <w:rPr>
          <w:b/>
          <w:bCs/>
        </w:rPr>
        <w:t xml:space="preserve">Response to the HMICFRS </w:t>
      </w:r>
      <w:r w:rsidRPr="00FA4277">
        <w:rPr>
          <w:b/>
          <w:bCs/>
        </w:rPr>
        <w:t xml:space="preserve">Accelerated cause of concern: Firearms and </w:t>
      </w:r>
      <w:r w:rsidR="00E23023">
        <w:rPr>
          <w:b/>
          <w:bCs/>
        </w:rPr>
        <w:t>E</w:t>
      </w:r>
      <w:r w:rsidRPr="00FA4277">
        <w:rPr>
          <w:b/>
          <w:bCs/>
        </w:rPr>
        <w:t xml:space="preserve">xplosives </w:t>
      </w:r>
      <w:r w:rsidR="00E23023">
        <w:rPr>
          <w:b/>
          <w:bCs/>
        </w:rPr>
        <w:t>L</w:t>
      </w:r>
      <w:r w:rsidRPr="00FA4277">
        <w:rPr>
          <w:b/>
          <w:bCs/>
        </w:rPr>
        <w:t>icensing - Bedfordshire Police, Cambridgeshire Constabulary and Hertfordshire Constabulary</w:t>
      </w:r>
    </w:p>
    <w:p w14:paraId="3EC419B6" w14:textId="7946380C" w:rsidR="00FA4277" w:rsidRDefault="00FA4277" w:rsidP="000C0025">
      <w:pPr>
        <w:spacing w:line="360" w:lineRule="auto"/>
      </w:pPr>
      <w:r w:rsidRPr="00FA4277">
        <w:t xml:space="preserve">The accelerated cause of concern report published </w:t>
      </w:r>
      <w:r w:rsidR="002E09E1" w:rsidRPr="00FA4277">
        <w:t xml:space="preserve">on </w:t>
      </w:r>
      <w:r w:rsidR="002E09E1">
        <w:t>9</w:t>
      </w:r>
      <w:r w:rsidRPr="00FA4277">
        <w:rPr>
          <w:vertAlign w:val="superscript"/>
        </w:rPr>
        <w:t>th</w:t>
      </w:r>
      <w:r>
        <w:t xml:space="preserve"> January 2026</w:t>
      </w:r>
      <w:r w:rsidRPr="00FA4277">
        <w:t xml:space="preserve"> set out HMICFRS’s findings on firearms licensing across Bedfordshire, </w:t>
      </w:r>
      <w:r w:rsidR="00F94F0E" w:rsidRPr="00FA4277">
        <w:t>Cambridgeshire,</w:t>
      </w:r>
      <w:r w:rsidRPr="00FA4277">
        <w:t xml:space="preserve"> and Hertfordshire.</w:t>
      </w:r>
      <w:r>
        <w:t xml:space="preserve"> </w:t>
      </w:r>
    </w:p>
    <w:p w14:paraId="18E7A878" w14:textId="3F3F8E63" w:rsidR="00FA4277" w:rsidRDefault="00FA4277" w:rsidP="000C0025">
      <w:pPr>
        <w:spacing w:line="360" w:lineRule="auto"/>
      </w:pPr>
      <w:r>
        <w:t>As Police and Crime Commissioners we recognise that firearms licensing remains one of the most significant public safety responsibilities held by our forces. Our role is to provide clear, consistent, and evidence-based oversight so that the public can be assured that the licensing system is safe, lawful, efficient, and well governed.</w:t>
      </w:r>
    </w:p>
    <w:p w14:paraId="70143F78" w14:textId="03210827" w:rsidR="00FA4277" w:rsidRDefault="00FA4277" w:rsidP="000C0025">
      <w:pPr>
        <w:spacing w:line="360" w:lineRule="auto"/>
      </w:pPr>
      <w:r>
        <w:t>This response sets out the position reported by the Chief Constables and the arrangements the three PCCs have in place to monitor progress, ensure transparency, and maintain accountability as improvements are delivered.</w:t>
      </w:r>
    </w:p>
    <w:p w14:paraId="53D3C039" w14:textId="77777777" w:rsidR="00FA4277" w:rsidRDefault="00FA4277" w:rsidP="000C0025">
      <w:pPr>
        <w:spacing w:line="360" w:lineRule="auto"/>
        <w:rPr>
          <w:b/>
          <w:bCs/>
        </w:rPr>
      </w:pPr>
      <w:r>
        <w:rPr>
          <w:b/>
          <w:bCs/>
        </w:rPr>
        <w:t>1. Delegated authority for signing licensing certificates</w:t>
      </w:r>
    </w:p>
    <w:p w14:paraId="08A93388" w14:textId="460854C4" w:rsidR="00FA4277" w:rsidRDefault="00FA4277" w:rsidP="000C0025">
      <w:pPr>
        <w:spacing w:line="360" w:lineRule="auto"/>
      </w:pPr>
      <w:r>
        <w:t xml:space="preserve">The forces have now aligned delegated authorities for certificate sign off with national statutory guidance. Earlier alignment would have reduced some of the risks identified in the inspection, and as a result, the forces have now strengthened their quality assurance arrangements. These arrangements feed into the weekly governance structure so that senior leaders have oversight of decision making and any areas that require attention. The three PCCs receive assurance through their established </w:t>
      </w:r>
      <w:r>
        <w:lastRenderedPageBreak/>
        <w:t>performance and accountability mechanisms, which provide updates on progress, oversight activity, and any emerging issues.</w:t>
      </w:r>
    </w:p>
    <w:p w14:paraId="5E2A8CE5" w14:textId="77777777" w:rsidR="00FA4277" w:rsidRDefault="00FA4277" w:rsidP="000C0025">
      <w:pPr>
        <w:spacing w:line="360" w:lineRule="auto"/>
        <w:rPr>
          <w:b/>
          <w:bCs/>
        </w:rPr>
      </w:pPr>
      <w:r>
        <w:rPr>
          <w:b/>
          <w:bCs/>
        </w:rPr>
        <w:t>2. Updating policy and standard operating procedures</w:t>
      </w:r>
    </w:p>
    <w:p w14:paraId="4AFA1130" w14:textId="22CA4D68" w:rsidR="00FA4277" w:rsidRDefault="00FA4277" w:rsidP="000C0025">
      <w:pPr>
        <w:spacing w:line="360" w:lineRule="auto"/>
      </w:pPr>
      <w:r>
        <w:t>A substantial programme of policy revision has taken place. Nearly twenty policies have now been updated to align with statutory guidance and reflect the improved processes introduced since the inspection. This represents significant work completed at pace. A small number are in the final stages of review, and the three forces have confirmed these will be completed shortly. The PCCs expect clear visibility of the finalised policies and can access them directly once they are published, with progress reviewed through routine oversight meetings.</w:t>
      </w:r>
    </w:p>
    <w:p w14:paraId="76722E75" w14:textId="77777777" w:rsidR="00FA4277" w:rsidRDefault="00FA4277" w:rsidP="000C0025">
      <w:pPr>
        <w:spacing w:line="360" w:lineRule="auto"/>
        <w:rPr>
          <w:b/>
          <w:bCs/>
        </w:rPr>
      </w:pPr>
      <w:r>
        <w:rPr>
          <w:b/>
          <w:bCs/>
        </w:rPr>
        <w:t>3. Backlog, risk, and prioritisation</w:t>
      </w:r>
    </w:p>
    <w:p w14:paraId="1AFFF805" w14:textId="1CF5F525" w:rsidR="00FA4277" w:rsidRDefault="00FA4277" w:rsidP="000C0025">
      <w:pPr>
        <w:spacing w:line="360" w:lineRule="auto"/>
      </w:pPr>
      <w:r>
        <w:t>Force reporting now provides a clear view of all renewals and grants. Renewals are being prioritised to support public safety. Backlogs from 2020 to 2022 have been addressed and the department is working through 2023 applications. While progress is evident, the historical backlog means the overall risk has not yet been fully mitigated. The PCCs receive regular reporting on backlog movement and emerging pressures so that risks are understood and monitored collectively across the three forces.</w:t>
      </w:r>
    </w:p>
    <w:p w14:paraId="68DAA24B" w14:textId="77777777" w:rsidR="00FA4277" w:rsidRDefault="00FA4277" w:rsidP="000C0025">
      <w:pPr>
        <w:spacing w:line="360" w:lineRule="auto"/>
        <w:rPr>
          <w:b/>
          <w:bCs/>
        </w:rPr>
      </w:pPr>
      <w:r>
        <w:rPr>
          <w:b/>
          <w:bCs/>
        </w:rPr>
        <w:t>4. Desk-based shotgun renewal assurance</w:t>
      </w:r>
    </w:p>
    <w:p w14:paraId="24A84632" w14:textId="725AB59B" w:rsidR="00FA4277" w:rsidRDefault="00FA4277" w:rsidP="000C0025">
      <w:pPr>
        <w:spacing w:line="360" w:lineRule="auto"/>
      </w:pPr>
      <w:r>
        <w:t>The three forces have strengthened controls for desk-based shotgun renewals, including rationalising and recording contact with referees in every case. The PCCs have requested ongoing assurance on how this revised process is operating in practice. This will be reviewed through routine performance meetings and quarterly assurance boards to maintain proportionality and effectiveness.</w:t>
      </w:r>
    </w:p>
    <w:p w14:paraId="6699BA50" w14:textId="77777777" w:rsidR="00FA4277" w:rsidRDefault="00FA4277" w:rsidP="000C0025">
      <w:pPr>
        <w:spacing w:line="360" w:lineRule="auto"/>
        <w:rPr>
          <w:b/>
          <w:bCs/>
        </w:rPr>
      </w:pPr>
      <w:r>
        <w:rPr>
          <w:b/>
          <w:bCs/>
        </w:rPr>
        <w:t>5. Governance and senior oversight</w:t>
      </w:r>
    </w:p>
    <w:p w14:paraId="328D7A36" w14:textId="77777777" w:rsidR="00FA4277" w:rsidRDefault="00FA4277" w:rsidP="000C0025">
      <w:pPr>
        <w:spacing w:line="360" w:lineRule="auto"/>
      </w:pPr>
      <w:r>
        <w:t>A strengthened governance structure is in place.</w:t>
      </w:r>
    </w:p>
    <w:p w14:paraId="789639B6" w14:textId="67378FF2" w:rsidR="00FA4277" w:rsidRDefault="00FA4277" w:rsidP="000C0025">
      <w:pPr>
        <w:pStyle w:val="ListParagraph"/>
        <w:numPr>
          <w:ilvl w:val="0"/>
          <w:numId w:val="2"/>
        </w:numPr>
        <w:spacing w:line="360" w:lineRule="auto"/>
      </w:pPr>
      <w:r>
        <w:t>A weekly Silver Group chaired at Chief Superintendent level</w:t>
      </w:r>
    </w:p>
    <w:p w14:paraId="363101FD" w14:textId="447CD8DD" w:rsidR="00FA4277" w:rsidRDefault="00FA4277" w:rsidP="000C0025">
      <w:pPr>
        <w:pStyle w:val="ListParagraph"/>
        <w:numPr>
          <w:ilvl w:val="0"/>
          <w:numId w:val="2"/>
        </w:numPr>
        <w:spacing w:line="360" w:lineRule="auto"/>
      </w:pPr>
      <w:r>
        <w:t xml:space="preserve">A weekly Gold Group chaired by the Hertfordshire DCC, supported by the Cambridgeshire DCC as deputy chair, with the Bedfordshire ACC attending </w:t>
      </w:r>
    </w:p>
    <w:p w14:paraId="7E7E3A86" w14:textId="1EC72C36" w:rsidR="00FA4277" w:rsidRDefault="00FA4277" w:rsidP="000C0025">
      <w:pPr>
        <w:pStyle w:val="ListParagraph"/>
        <w:numPr>
          <w:ilvl w:val="0"/>
          <w:numId w:val="2"/>
        </w:numPr>
        <w:spacing w:line="360" w:lineRule="auto"/>
      </w:pPr>
      <w:r>
        <w:lastRenderedPageBreak/>
        <w:t>Activity mapped directly to HMICFRS recommendations and Authorised Professional Practice</w:t>
      </w:r>
    </w:p>
    <w:p w14:paraId="249A5A90" w14:textId="21A6460F" w:rsidR="00FA4277" w:rsidRDefault="00FA4277" w:rsidP="000C0025">
      <w:pPr>
        <w:spacing w:line="360" w:lineRule="auto"/>
      </w:pPr>
      <w:r>
        <w:t>The three PCCs have a clear line of sight into this governance structure and receive summary assurance reporting to support oversight of performance, risk, and compliance.</w:t>
      </w:r>
    </w:p>
    <w:p w14:paraId="5090FA76" w14:textId="77777777" w:rsidR="00FA4277" w:rsidRDefault="00FA4277" w:rsidP="000C0025">
      <w:pPr>
        <w:spacing w:line="360" w:lineRule="auto"/>
        <w:rPr>
          <w:b/>
          <w:bCs/>
        </w:rPr>
      </w:pPr>
      <w:r>
        <w:rPr>
          <w:b/>
          <w:bCs/>
        </w:rPr>
        <w:t>6. Resourcing and sustainability</w:t>
      </w:r>
    </w:p>
    <w:p w14:paraId="5042877E" w14:textId="4197C967" w:rsidR="00FA4277" w:rsidRDefault="00FA4277" w:rsidP="000C0025">
      <w:pPr>
        <w:spacing w:line="360" w:lineRule="auto"/>
      </w:pPr>
      <w:r>
        <w:t xml:space="preserve">The department expects to increase to around </w:t>
      </w:r>
      <w:r w:rsidR="005062EA">
        <w:t>90</w:t>
      </w:r>
      <w:r>
        <w:t xml:space="preserve"> staff, in line with the commitments set out in the action plan. The original resourcing model of 39.5 staff was not sustainable for the volume of work. The three forces have confirmed that future budget planning reflects the need for a stable and safe operating model. The PCCs will continue to seek assurance that this model remains sustainable as demand and risk change.</w:t>
      </w:r>
    </w:p>
    <w:p w14:paraId="2354BE5F" w14:textId="2F07478E" w:rsidR="00FA4277" w:rsidRDefault="00FA4277" w:rsidP="000C0025">
      <w:pPr>
        <w:spacing w:line="360" w:lineRule="auto"/>
        <w:rPr>
          <w:b/>
          <w:bCs/>
        </w:rPr>
      </w:pPr>
      <w:r>
        <w:rPr>
          <w:b/>
          <w:bCs/>
        </w:rPr>
        <w:t xml:space="preserve">7. Training, </w:t>
      </w:r>
      <w:r w:rsidR="00F94F0E">
        <w:rPr>
          <w:b/>
          <w:bCs/>
        </w:rPr>
        <w:t>competence,</w:t>
      </w:r>
      <w:r>
        <w:rPr>
          <w:b/>
          <w:bCs/>
        </w:rPr>
        <w:t xml:space="preserve"> and national requirements</w:t>
      </w:r>
    </w:p>
    <w:p w14:paraId="07E7E72D" w14:textId="3183A038" w:rsidR="00FA4277" w:rsidRPr="00FA4277" w:rsidRDefault="00FA4277" w:rsidP="000C0025">
      <w:pPr>
        <w:spacing w:line="360" w:lineRule="auto"/>
      </w:pPr>
      <w:r>
        <w:t>The College of Policing is delivering bespoke training, and national courses scheduled between April and June have been secured for staff. The PCC offices have asked the forces to outline how they will ensure staff maintain the skills and knowledge required for this high-risk area. This will form part of ongoing performance and assurance activity.</w:t>
      </w:r>
    </w:p>
    <w:p w14:paraId="669C4E5C" w14:textId="61E3972C" w:rsidR="00FA4277" w:rsidRDefault="00FA4277" w:rsidP="000C0025">
      <w:pPr>
        <w:spacing w:line="360" w:lineRule="auto"/>
        <w:rPr>
          <w:b/>
          <w:bCs/>
        </w:rPr>
      </w:pPr>
      <w:r>
        <w:rPr>
          <w:b/>
          <w:bCs/>
        </w:rPr>
        <w:t xml:space="preserve">8. Communication with the public, </w:t>
      </w:r>
      <w:r w:rsidR="00F94F0E">
        <w:rPr>
          <w:b/>
          <w:bCs/>
        </w:rPr>
        <w:t>staff,</w:t>
      </w:r>
      <w:r>
        <w:rPr>
          <w:b/>
          <w:bCs/>
        </w:rPr>
        <w:t xml:space="preserve"> and partners</w:t>
      </w:r>
    </w:p>
    <w:p w14:paraId="147860A6" w14:textId="107D01FC" w:rsidR="00FA4277" w:rsidRDefault="00FA4277" w:rsidP="000C0025">
      <w:pPr>
        <w:spacing w:line="360" w:lineRule="auto"/>
      </w:pPr>
      <w:r>
        <w:t xml:space="preserve">All three forces have taken steps to strengthen communication, including a monthly firearms newsletter, regular meetings with the three PCC offices to review contact and complaint trends and updated website information on timeliness and greater engagement through local community events. These developments are positive. The PCCs have requested the next stage of the communication approach, so the public continues to receive clear, timely and consistent information. </w:t>
      </w:r>
    </w:p>
    <w:p w14:paraId="69206C96" w14:textId="77777777" w:rsidR="00FA4277" w:rsidRDefault="00FA4277" w:rsidP="000C0025">
      <w:pPr>
        <w:spacing w:line="360" w:lineRule="auto"/>
        <w:rPr>
          <w:b/>
          <w:bCs/>
        </w:rPr>
      </w:pPr>
      <w:r>
        <w:rPr>
          <w:b/>
          <w:bCs/>
        </w:rPr>
        <w:t>PCC oversight and accountability</w:t>
      </w:r>
    </w:p>
    <w:p w14:paraId="1BF29DBF" w14:textId="77777777" w:rsidR="00FA4277" w:rsidRDefault="00FA4277" w:rsidP="000C0025">
      <w:pPr>
        <w:spacing w:line="360" w:lineRule="auto"/>
      </w:pPr>
      <w:r>
        <w:t xml:space="preserve">The three PCCs have existing scrutiny arrangements for firearms licensing, and these have continued through the inspection period. Following the HMICFRS report, the three </w:t>
      </w:r>
      <w:r>
        <w:lastRenderedPageBreak/>
        <w:t>PCCs have strengthened and aligned aspects of this oversight to ensure progress, risk and compliance are monitored consistently across the collaboration. This includes:</w:t>
      </w:r>
    </w:p>
    <w:p w14:paraId="459A6767" w14:textId="5881FF92" w:rsidR="00FA4277" w:rsidRDefault="00FA4277" w:rsidP="000C0025">
      <w:pPr>
        <w:pStyle w:val="ListParagraph"/>
        <w:numPr>
          <w:ilvl w:val="0"/>
          <w:numId w:val="2"/>
        </w:numPr>
        <w:spacing w:line="360" w:lineRule="auto"/>
      </w:pPr>
      <w:r>
        <w:t>Monthly performance and accountability meetings with Chief Constables</w:t>
      </w:r>
    </w:p>
    <w:p w14:paraId="4F7DAB0A" w14:textId="2FA19EBB" w:rsidR="00FA4277" w:rsidRDefault="00FA4277" w:rsidP="000C0025">
      <w:pPr>
        <w:pStyle w:val="ListParagraph"/>
        <w:numPr>
          <w:ilvl w:val="0"/>
          <w:numId w:val="2"/>
        </w:numPr>
        <w:spacing w:line="360" w:lineRule="auto"/>
      </w:pPr>
      <w:r>
        <w:t xml:space="preserve">Quarterly assurance meetings reviewing risk, timeliness, </w:t>
      </w:r>
      <w:r w:rsidR="000C0025">
        <w:t>competence,</w:t>
      </w:r>
      <w:r>
        <w:t xml:space="preserve"> and </w:t>
      </w:r>
      <w:r w:rsidR="000C0025">
        <w:t>compliance.</w:t>
      </w:r>
    </w:p>
    <w:p w14:paraId="2317898F" w14:textId="29264C67" w:rsidR="00FA4277" w:rsidRDefault="00FA4277" w:rsidP="000C0025">
      <w:pPr>
        <w:pStyle w:val="ListParagraph"/>
        <w:numPr>
          <w:ilvl w:val="0"/>
          <w:numId w:val="2"/>
        </w:numPr>
        <w:spacing w:line="360" w:lineRule="auto"/>
      </w:pPr>
      <w:r>
        <w:t>Routine monitoring of backlog trends and exception reporting</w:t>
      </w:r>
    </w:p>
    <w:p w14:paraId="5904EE24" w14:textId="5685C71C" w:rsidR="00FA4277" w:rsidRDefault="00FA4277" w:rsidP="000C0025">
      <w:pPr>
        <w:pStyle w:val="ListParagraph"/>
        <w:numPr>
          <w:ilvl w:val="0"/>
          <w:numId w:val="2"/>
        </w:numPr>
        <w:spacing w:line="360" w:lineRule="auto"/>
      </w:pPr>
      <w:r>
        <w:t xml:space="preserve">Independent data validation to test force </w:t>
      </w:r>
      <w:r w:rsidR="000C0025">
        <w:t>reporting.</w:t>
      </w:r>
    </w:p>
    <w:p w14:paraId="43738C32" w14:textId="357EDE09" w:rsidR="00FA4277" w:rsidRDefault="00FA4277" w:rsidP="000C0025">
      <w:pPr>
        <w:pStyle w:val="ListParagraph"/>
        <w:numPr>
          <w:ilvl w:val="0"/>
          <w:numId w:val="2"/>
        </w:numPr>
        <w:spacing w:line="360" w:lineRule="auto"/>
      </w:pPr>
      <w:r>
        <w:t xml:space="preserve">Action tracking to ensure commitments to HMICFRS are </w:t>
      </w:r>
      <w:r w:rsidR="000C0025">
        <w:t>delivered.</w:t>
      </w:r>
    </w:p>
    <w:p w14:paraId="2CE0EFB2" w14:textId="781D4E41" w:rsidR="00FA4277" w:rsidRDefault="00FA4277" w:rsidP="000C0025">
      <w:pPr>
        <w:spacing w:line="360" w:lineRule="auto"/>
      </w:pPr>
      <w:r>
        <w:t>The three PCC offices collectively meet with the three Chief Constables each month to review progress, and each PCC also holds their own Chief Constable to account through established governance arrangements. As part of this scrutiny, they are seeking clear assurance on the factors that led to the current position and how management and oversight arrangements are being strengthened in response. Where further work is required, the PCCs will continue to use established escalation routes to ensure corrective action is taken promptly.</w:t>
      </w:r>
    </w:p>
    <w:p w14:paraId="708068CC" w14:textId="26C1E93B" w:rsidR="00FA4277" w:rsidRDefault="00FA4277" w:rsidP="000C0025">
      <w:pPr>
        <w:spacing w:line="360" w:lineRule="auto"/>
      </w:pPr>
      <w:r>
        <w:t>The forces have taken visible steps to strengthen governance, resourcing, and compliance with statutory guidance. The three PCCs will continue to scrutinise delivery against the improvement plan and ensure that the Chief Constables provide timely and transparent evidence of progress. The safety and integrity of the firearms licensing system remain a shared priority across Bedfordshire, Cambridgeshire and Hertfordshire and we welcome continued engagement with HMICFRS as these improvements are embedded.</w:t>
      </w:r>
    </w:p>
    <w:p w14:paraId="73202A67" w14:textId="4C8F89FB" w:rsidR="003E5F7E" w:rsidRDefault="00FA4277" w:rsidP="000C0025">
      <w:pPr>
        <w:spacing w:line="360" w:lineRule="auto"/>
      </w:pPr>
      <w:r>
        <w:t>Yours sincerely</w:t>
      </w:r>
    </w:p>
    <w:p w14:paraId="28D11C3A" w14:textId="3867FF2C" w:rsidR="00FA4277" w:rsidRDefault="00FA4277" w:rsidP="000C0025">
      <w:pPr>
        <w:spacing w:line="360" w:lineRule="auto"/>
      </w:pPr>
      <w:r>
        <w:t xml:space="preserve">The Police and Crime Commissioners for Bedfordshire, </w:t>
      </w:r>
      <w:r w:rsidR="00F94F0E">
        <w:t>Cambridgeshire,</w:t>
      </w:r>
      <w:r>
        <w:t xml:space="preserve"> and Hertfordshire</w:t>
      </w:r>
    </w:p>
    <w:p w14:paraId="221374F4" w14:textId="77777777" w:rsidR="00FA4277" w:rsidRPr="00FA4277" w:rsidRDefault="00FA4277" w:rsidP="00FA4277"/>
    <w:sectPr w:rsidR="00FA4277" w:rsidRPr="00FA4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1F95"/>
    <w:multiLevelType w:val="hybridMultilevel"/>
    <w:tmpl w:val="7F5666C6"/>
    <w:lvl w:ilvl="0" w:tplc="095EB5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35F76"/>
    <w:multiLevelType w:val="hybridMultilevel"/>
    <w:tmpl w:val="1CD68494"/>
    <w:lvl w:ilvl="0" w:tplc="095EB5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57861"/>
    <w:multiLevelType w:val="hybridMultilevel"/>
    <w:tmpl w:val="F652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1450">
    <w:abstractNumId w:val="2"/>
  </w:num>
  <w:num w:numId="2" w16cid:durableId="1095790325">
    <w:abstractNumId w:val="1"/>
  </w:num>
  <w:num w:numId="3" w16cid:durableId="17237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77"/>
    <w:rsid w:val="000C0025"/>
    <w:rsid w:val="002E09E1"/>
    <w:rsid w:val="003E5F7E"/>
    <w:rsid w:val="003F6F43"/>
    <w:rsid w:val="005062EA"/>
    <w:rsid w:val="007B158F"/>
    <w:rsid w:val="00AD48C5"/>
    <w:rsid w:val="00C313A4"/>
    <w:rsid w:val="00CF561B"/>
    <w:rsid w:val="00DC0909"/>
    <w:rsid w:val="00DC6832"/>
    <w:rsid w:val="00E23023"/>
    <w:rsid w:val="00F94F0E"/>
    <w:rsid w:val="00FA4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B3C"/>
  <w15:chartTrackingRefBased/>
  <w15:docId w15:val="{A53D4F7C-6981-4503-B9D3-50E18AC4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277"/>
    <w:rPr>
      <w:rFonts w:eastAsiaTheme="majorEastAsia" w:cstheme="majorBidi"/>
      <w:color w:val="272727" w:themeColor="text1" w:themeTint="D8"/>
    </w:rPr>
  </w:style>
  <w:style w:type="paragraph" w:styleId="Title">
    <w:name w:val="Title"/>
    <w:basedOn w:val="Normal"/>
    <w:next w:val="Normal"/>
    <w:link w:val="TitleChar"/>
    <w:uiPriority w:val="10"/>
    <w:qFormat/>
    <w:rsid w:val="00FA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277"/>
    <w:pPr>
      <w:spacing w:before="160"/>
      <w:jc w:val="center"/>
    </w:pPr>
    <w:rPr>
      <w:i/>
      <w:iCs/>
      <w:color w:val="404040" w:themeColor="text1" w:themeTint="BF"/>
    </w:rPr>
  </w:style>
  <w:style w:type="character" w:customStyle="1" w:styleId="QuoteChar">
    <w:name w:val="Quote Char"/>
    <w:basedOn w:val="DefaultParagraphFont"/>
    <w:link w:val="Quote"/>
    <w:uiPriority w:val="29"/>
    <w:rsid w:val="00FA4277"/>
    <w:rPr>
      <w:i/>
      <w:iCs/>
      <w:color w:val="404040" w:themeColor="text1" w:themeTint="BF"/>
    </w:rPr>
  </w:style>
  <w:style w:type="paragraph" w:styleId="ListParagraph">
    <w:name w:val="List Paragraph"/>
    <w:basedOn w:val="Normal"/>
    <w:uiPriority w:val="34"/>
    <w:qFormat/>
    <w:rsid w:val="00FA4277"/>
    <w:pPr>
      <w:ind w:left="720"/>
      <w:contextualSpacing/>
    </w:pPr>
  </w:style>
  <w:style w:type="character" w:styleId="IntenseEmphasis">
    <w:name w:val="Intense Emphasis"/>
    <w:basedOn w:val="DefaultParagraphFont"/>
    <w:uiPriority w:val="21"/>
    <w:qFormat/>
    <w:rsid w:val="00FA4277"/>
    <w:rPr>
      <w:i/>
      <w:iCs/>
      <w:color w:val="0F4761" w:themeColor="accent1" w:themeShade="BF"/>
    </w:rPr>
  </w:style>
  <w:style w:type="paragraph" w:styleId="IntenseQuote">
    <w:name w:val="Intense Quote"/>
    <w:basedOn w:val="Normal"/>
    <w:next w:val="Normal"/>
    <w:link w:val="IntenseQuoteChar"/>
    <w:uiPriority w:val="30"/>
    <w:qFormat/>
    <w:rsid w:val="00FA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277"/>
    <w:rPr>
      <w:i/>
      <w:iCs/>
      <w:color w:val="0F4761" w:themeColor="accent1" w:themeShade="BF"/>
    </w:rPr>
  </w:style>
  <w:style w:type="character" w:styleId="IntenseReference">
    <w:name w:val="Intense Reference"/>
    <w:basedOn w:val="DefaultParagraphFont"/>
    <w:uiPriority w:val="32"/>
    <w:qFormat/>
    <w:rsid w:val="00FA4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C9B69.671DA660"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PAULL-JESSUP, Nadine 8267</dc:creator>
  <cp:keywords/>
  <dc:description/>
  <cp:lastModifiedBy>PAULL-JESSUP, Nadine 8267</cp:lastModifiedBy>
  <cp:revision>9</cp:revision>
  <dcterms:created xsi:type="dcterms:W3CDTF">2026-03-06T17:16:00Z</dcterms:created>
  <dcterms:modified xsi:type="dcterms:W3CDTF">2026-03-06T17:38:00Z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2026-03-06T17:30:10Z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e469845b-10e1-468a-abea-0059217929be</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